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72D" w:rsidRPr="00B5172D" w:rsidRDefault="00B5172D" w:rsidP="00B5172D">
      <w:pPr>
        <w:spacing w:line="240" w:lineRule="auto"/>
        <w:jc w:val="center"/>
        <w:rPr>
          <w:rFonts w:ascii="Arial" w:eastAsia="Times New Roman" w:hAnsi="Arial"/>
          <w:color w:val="000000"/>
          <w:sz w:val="18"/>
          <w:szCs w:val="18"/>
          <w:lang w:val="es-CO"/>
        </w:rPr>
      </w:pPr>
      <w:r w:rsidRPr="00B5172D">
        <w:rPr>
          <w:rFonts w:ascii="Segoe UI" w:eastAsia="Times New Roman" w:hAnsi="Segoe UI" w:cs="Segoe UI"/>
          <w:b/>
          <w:bCs/>
          <w:color w:val="0000FF"/>
          <w:sz w:val="28"/>
          <w:szCs w:val="28"/>
          <w:lang w:val="es-CO"/>
        </w:rPr>
        <w:t>OFICIO Nº 000515</w:t>
      </w:r>
    </w:p>
    <w:p w:rsidR="00B5172D" w:rsidRPr="00B5172D" w:rsidRDefault="00B5172D" w:rsidP="00B5172D">
      <w:pPr>
        <w:spacing w:line="240" w:lineRule="auto"/>
        <w:jc w:val="center"/>
        <w:rPr>
          <w:rFonts w:ascii="Arial" w:eastAsia="Times New Roman" w:hAnsi="Arial"/>
          <w:color w:val="000000"/>
          <w:sz w:val="18"/>
          <w:szCs w:val="18"/>
          <w:lang w:val="es-CO"/>
        </w:rPr>
      </w:pPr>
      <w:r w:rsidRPr="00B5172D">
        <w:rPr>
          <w:rFonts w:ascii="Segoe UI" w:eastAsia="Times New Roman" w:hAnsi="Segoe UI" w:cs="Segoe UI"/>
          <w:b/>
          <w:bCs/>
          <w:color w:val="0000FF"/>
          <w:sz w:val="28"/>
          <w:szCs w:val="28"/>
          <w:lang w:val="es-CO"/>
        </w:rPr>
        <w:t>20-04-2018</w:t>
      </w:r>
    </w:p>
    <w:p w:rsidR="00B5172D" w:rsidRPr="00B5172D" w:rsidRDefault="00B5172D" w:rsidP="00B5172D">
      <w:pPr>
        <w:spacing w:line="240" w:lineRule="auto"/>
        <w:jc w:val="center"/>
        <w:rPr>
          <w:rFonts w:ascii="Arial" w:eastAsia="Times New Roman" w:hAnsi="Arial"/>
          <w:color w:val="000000"/>
          <w:sz w:val="18"/>
          <w:szCs w:val="18"/>
          <w:lang w:val="es-CO"/>
        </w:rPr>
      </w:pPr>
      <w:r w:rsidRPr="00B5172D">
        <w:rPr>
          <w:rFonts w:ascii="Segoe UI" w:eastAsia="Times New Roman" w:hAnsi="Segoe UI" w:cs="Segoe UI"/>
          <w:b/>
          <w:bCs/>
          <w:color w:val="0000FF"/>
          <w:sz w:val="28"/>
          <w:szCs w:val="28"/>
          <w:lang w:val="es-CO"/>
        </w:rPr>
        <w:t>DIAN</w:t>
      </w:r>
    </w:p>
    <w:p w:rsidR="00B5172D" w:rsidRPr="00B5172D" w:rsidRDefault="00B5172D" w:rsidP="00B5172D">
      <w:pPr>
        <w:spacing w:line="240" w:lineRule="auto"/>
        <w:rPr>
          <w:rFonts w:ascii="Arial" w:eastAsia="Times New Roman" w:hAnsi="Arial"/>
          <w:color w:val="000000"/>
          <w:sz w:val="18"/>
          <w:szCs w:val="18"/>
          <w:lang w:val="es-CO"/>
        </w:rPr>
      </w:pPr>
      <w:r w:rsidRPr="00B5172D">
        <w:rPr>
          <w:rFonts w:ascii="Segoe UI" w:eastAsia="Times New Roman" w:hAnsi="Segoe UI" w:cs="Segoe UI"/>
          <w:b/>
          <w:bCs/>
          <w:color w:val="0000FF"/>
          <w:sz w:val="18"/>
          <w:szCs w:val="18"/>
          <w:lang w:val="es-CO"/>
        </w:rPr>
        <w:t> </w:t>
      </w:r>
    </w:p>
    <w:p w:rsidR="00B5172D" w:rsidRPr="00B5172D" w:rsidRDefault="00B5172D" w:rsidP="00B5172D">
      <w:pPr>
        <w:spacing w:line="240" w:lineRule="auto"/>
        <w:rPr>
          <w:rFonts w:ascii="Arial" w:eastAsia="Times New Roman" w:hAnsi="Arial"/>
          <w:color w:val="000000"/>
          <w:sz w:val="18"/>
          <w:szCs w:val="18"/>
          <w:lang w:val="es-CO"/>
        </w:rPr>
      </w:pPr>
      <w:r w:rsidRPr="00B5172D">
        <w:rPr>
          <w:rFonts w:ascii="Segoe UI" w:eastAsia="Times New Roman" w:hAnsi="Segoe UI" w:cs="Segoe UI"/>
          <w:b/>
          <w:bCs/>
          <w:color w:val="0000FF"/>
          <w:sz w:val="18"/>
          <w:szCs w:val="18"/>
          <w:lang w:val="es-CO"/>
        </w:rPr>
        <w:t> </w:t>
      </w:r>
    </w:p>
    <w:p w:rsidR="00B5172D" w:rsidRPr="00B5172D" w:rsidRDefault="00B5172D" w:rsidP="00B5172D">
      <w:pPr>
        <w:spacing w:line="240" w:lineRule="auto"/>
        <w:rPr>
          <w:rFonts w:ascii="Arial" w:eastAsia="Times New Roman" w:hAnsi="Arial"/>
          <w:color w:val="000000"/>
          <w:sz w:val="18"/>
          <w:szCs w:val="18"/>
          <w:lang w:val="es-CO"/>
        </w:rPr>
      </w:pPr>
      <w:r w:rsidRPr="00B5172D">
        <w:rPr>
          <w:rFonts w:ascii="Segoe UI" w:eastAsia="Times New Roman" w:hAnsi="Segoe UI" w:cs="Segoe UI"/>
          <w:color w:val="000000"/>
          <w:sz w:val="18"/>
          <w:szCs w:val="18"/>
          <w:lang w:val="es-CO"/>
        </w:rPr>
        <w:t>Subdirección de Gestión Normativa y Doctrina</w:t>
      </w:r>
    </w:p>
    <w:p w:rsidR="00B5172D" w:rsidRPr="00B5172D" w:rsidRDefault="00B5172D" w:rsidP="00B5172D">
      <w:pPr>
        <w:spacing w:line="240" w:lineRule="auto"/>
        <w:rPr>
          <w:rFonts w:ascii="Arial" w:eastAsia="Times New Roman" w:hAnsi="Arial"/>
          <w:color w:val="000000"/>
          <w:sz w:val="18"/>
          <w:szCs w:val="18"/>
          <w:lang w:val="es-CO"/>
        </w:rPr>
      </w:pPr>
      <w:r w:rsidRPr="00B5172D">
        <w:rPr>
          <w:rFonts w:ascii="Segoe UI" w:eastAsia="Times New Roman" w:hAnsi="Segoe UI" w:cs="Segoe UI"/>
          <w:color w:val="000000"/>
          <w:sz w:val="18"/>
          <w:szCs w:val="18"/>
          <w:lang w:val="es-CO"/>
        </w:rPr>
        <w:t> </w:t>
      </w:r>
    </w:p>
    <w:p w:rsidR="00B5172D" w:rsidRPr="00B5172D" w:rsidRDefault="00B5172D" w:rsidP="00B5172D">
      <w:pPr>
        <w:spacing w:line="240" w:lineRule="auto"/>
        <w:rPr>
          <w:rFonts w:ascii="Arial" w:eastAsia="Times New Roman" w:hAnsi="Arial"/>
          <w:color w:val="000000"/>
          <w:sz w:val="18"/>
          <w:szCs w:val="18"/>
          <w:lang w:val="es-CO"/>
        </w:rPr>
      </w:pPr>
      <w:r w:rsidRPr="00B5172D">
        <w:rPr>
          <w:rFonts w:ascii="Segoe UI" w:eastAsia="Times New Roman" w:hAnsi="Segoe UI" w:cs="Segoe UI"/>
          <w:color w:val="000000"/>
          <w:sz w:val="18"/>
          <w:szCs w:val="18"/>
          <w:lang w:val="es-CO"/>
        </w:rPr>
        <w:t>100208221- 000515</w:t>
      </w:r>
    </w:p>
    <w:p w:rsidR="00B5172D" w:rsidRPr="00B5172D" w:rsidRDefault="00B5172D" w:rsidP="00B5172D">
      <w:pPr>
        <w:spacing w:line="240" w:lineRule="auto"/>
        <w:rPr>
          <w:rFonts w:ascii="Arial" w:eastAsia="Times New Roman" w:hAnsi="Arial"/>
          <w:color w:val="000000"/>
          <w:sz w:val="18"/>
          <w:szCs w:val="18"/>
          <w:lang w:val="es-CO"/>
        </w:rPr>
      </w:pPr>
      <w:r w:rsidRPr="00B5172D">
        <w:rPr>
          <w:rFonts w:ascii="Segoe UI" w:eastAsia="Times New Roman" w:hAnsi="Segoe UI" w:cs="Segoe UI"/>
          <w:color w:val="000000"/>
          <w:sz w:val="18"/>
          <w:szCs w:val="18"/>
          <w:lang w:val="es-CO"/>
        </w:rPr>
        <w:t>Bogotá, D.C.</w:t>
      </w:r>
    </w:p>
    <w:p w:rsidR="00B5172D" w:rsidRPr="00B5172D" w:rsidRDefault="00B5172D" w:rsidP="00B5172D">
      <w:pPr>
        <w:spacing w:line="240" w:lineRule="auto"/>
        <w:rPr>
          <w:rFonts w:ascii="Arial" w:eastAsia="Times New Roman" w:hAnsi="Arial"/>
          <w:color w:val="000000"/>
          <w:sz w:val="18"/>
          <w:szCs w:val="18"/>
          <w:lang w:val="es-CO"/>
        </w:rPr>
      </w:pPr>
      <w:r w:rsidRPr="00B5172D">
        <w:rPr>
          <w:rFonts w:ascii="Segoe UI" w:eastAsia="Times New Roman" w:hAnsi="Segoe UI" w:cs="Segoe UI"/>
          <w:color w:val="000000"/>
          <w:sz w:val="18"/>
          <w:szCs w:val="18"/>
          <w:lang w:val="es-CO"/>
        </w:rPr>
        <w:t> </w:t>
      </w:r>
    </w:p>
    <w:p w:rsidR="00B5172D" w:rsidRPr="00B5172D" w:rsidRDefault="00B5172D" w:rsidP="00B5172D">
      <w:pPr>
        <w:spacing w:line="240" w:lineRule="auto"/>
        <w:rPr>
          <w:rFonts w:ascii="Arial" w:eastAsia="Times New Roman" w:hAnsi="Arial"/>
          <w:color w:val="000000"/>
          <w:sz w:val="18"/>
          <w:szCs w:val="18"/>
          <w:lang w:val="es-CO"/>
        </w:rPr>
      </w:pPr>
      <w:r w:rsidRPr="00B5172D">
        <w:rPr>
          <w:rFonts w:ascii="Segoe UI" w:eastAsia="Times New Roman" w:hAnsi="Segoe UI" w:cs="Segoe UI"/>
          <w:color w:val="000000"/>
          <w:sz w:val="18"/>
          <w:szCs w:val="18"/>
          <w:lang w:val="es-CO"/>
        </w:rPr>
        <w:t>Señor</w:t>
      </w:r>
    </w:p>
    <w:p w:rsidR="00B5172D" w:rsidRPr="00B5172D" w:rsidRDefault="00B5172D" w:rsidP="00B5172D">
      <w:pPr>
        <w:spacing w:line="240" w:lineRule="auto"/>
        <w:rPr>
          <w:rFonts w:ascii="Arial" w:eastAsia="Times New Roman" w:hAnsi="Arial"/>
          <w:color w:val="000000"/>
          <w:sz w:val="18"/>
          <w:szCs w:val="18"/>
          <w:lang w:val="es-CO"/>
        </w:rPr>
      </w:pPr>
      <w:r w:rsidRPr="00B5172D">
        <w:rPr>
          <w:rFonts w:ascii="Segoe UI" w:eastAsia="Times New Roman" w:hAnsi="Segoe UI" w:cs="Segoe UI"/>
          <w:b/>
          <w:bCs/>
          <w:color w:val="000000"/>
          <w:sz w:val="18"/>
          <w:szCs w:val="18"/>
          <w:lang w:val="es-CO"/>
        </w:rPr>
        <w:t>CARLOS ANDRES CAÑON</w:t>
      </w:r>
    </w:p>
    <w:p w:rsidR="00B5172D" w:rsidRPr="00B5172D" w:rsidRDefault="00B5172D" w:rsidP="00B5172D">
      <w:pPr>
        <w:spacing w:line="240" w:lineRule="auto"/>
        <w:rPr>
          <w:rFonts w:ascii="Arial" w:eastAsia="Times New Roman" w:hAnsi="Arial"/>
          <w:color w:val="000000"/>
          <w:sz w:val="18"/>
          <w:szCs w:val="18"/>
          <w:lang w:val="es-CO"/>
        </w:rPr>
      </w:pPr>
      <w:r w:rsidRPr="00B5172D">
        <w:rPr>
          <w:rFonts w:ascii="Segoe UI" w:eastAsia="Times New Roman" w:hAnsi="Segoe UI" w:cs="Segoe UI"/>
          <w:color w:val="000000"/>
          <w:sz w:val="18"/>
          <w:szCs w:val="18"/>
          <w:lang w:val="es-CO"/>
        </w:rPr>
        <w:t>Calle 99 Nº 7 A-77 Of. 405</w:t>
      </w:r>
    </w:p>
    <w:p w:rsidR="00B5172D" w:rsidRPr="00B5172D" w:rsidRDefault="00B5172D" w:rsidP="00B5172D">
      <w:pPr>
        <w:spacing w:line="240" w:lineRule="auto"/>
        <w:rPr>
          <w:rFonts w:ascii="Arial" w:eastAsia="Times New Roman" w:hAnsi="Arial"/>
          <w:color w:val="000000"/>
          <w:sz w:val="18"/>
          <w:szCs w:val="18"/>
          <w:lang w:val="es-CO"/>
        </w:rPr>
      </w:pPr>
      <w:r w:rsidRPr="00B5172D">
        <w:rPr>
          <w:rFonts w:ascii="Segoe UI" w:eastAsia="Times New Roman" w:hAnsi="Segoe UI" w:cs="Segoe UI"/>
          <w:color w:val="000000"/>
          <w:sz w:val="18"/>
          <w:szCs w:val="18"/>
          <w:lang w:val="es-CO"/>
        </w:rPr>
        <w:t>Bogotá D.C.</w:t>
      </w:r>
    </w:p>
    <w:p w:rsidR="00B5172D" w:rsidRPr="00B5172D" w:rsidRDefault="00B5172D" w:rsidP="00B5172D">
      <w:pPr>
        <w:spacing w:line="240" w:lineRule="auto"/>
        <w:rPr>
          <w:rFonts w:ascii="Arial" w:eastAsia="Times New Roman" w:hAnsi="Arial"/>
          <w:color w:val="000000"/>
          <w:sz w:val="18"/>
          <w:szCs w:val="18"/>
          <w:lang w:val="es-CO"/>
        </w:rPr>
      </w:pPr>
      <w:r w:rsidRPr="00B5172D">
        <w:rPr>
          <w:rFonts w:ascii="Segoe UI" w:eastAsia="Times New Roman" w:hAnsi="Segoe UI" w:cs="Segoe UI"/>
          <w:color w:val="000000"/>
          <w:sz w:val="18"/>
          <w:szCs w:val="18"/>
          <w:lang w:val="es-CO"/>
        </w:rPr>
        <w:t> </w:t>
      </w:r>
    </w:p>
    <w:p w:rsidR="00B5172D" w:rsidRPr="00B5172D" w:rsidRDefault="00B5172D" w:rsidP="00B5172D">
      <w:pPr>
        <w:spacing w:line="240" w:lineRule="auto"/>
        <w:rPr>
          <w:rFonts w:ascii="Arial" w:eastAsia="Times New Roman" w:hAnsi="Arial"/>
          <w:color w:val="000000"/>
          <w:sz w:val="18"/>
          <w:szCs w:val="18"/>
          <w:lang w:val="es-CO"/>
        </w:rPr>
      </w:pPr>
      <w:proofErr w:type="spellStart"/>
      <w:r w:rsidRPr="00B5172D">
        <w:rPr>
          <w:rFonts w:ascii="Segoe UI" w:eastAsia="Times New Roman" w:hAnsi="Segoe UI" w:cs="Segoe UI"/>
          <w:b/>
          <w:bCs/>
          <w:color w:val="000000"/>
          <w:sz w:val="18"/>
          <w:szCs w:val="18"/>
          <w:lang w:val="es-CO"/>
        </w:rPr>
        <w:t>Ref</w:t>
      </w:r>
      <w:proofErr w:type="spellEnd"/>
      <w:r w:rsidRPr="00B5172D">
        <w:rPr>
          <w:rFonts w:ascii="Segoe UI" w:eastAsia="Times New Roman" w:hAnsi="Segoe UI" w:cs="Segoe UI"/>
          <w:b/>
          <w:bCs/>
          <w:color w:val="000000"/>
          <w:sz w:val="18"/>
          <w:szCs w:val="18"/>
          <w:lang w:val="es-CO"/>
        </w:rPr>
        <w:t>:</w:t>
      </w:r>
      <w:r w:rsidRPr="00B5172D">
        <w:rPr>
          <w:rFonts w:ascii="Segoe UI" w:eastAsia="Times New Roman" w:hAnsi="Segoe UI" w:cs="Segoe UI"/>
          <w:color w:val="000000"/>
          <w:sz w:val="18"/>
          <w:szCs w:val="18"/>
          <w:lang w:val="es-CO"/>
        </w:rPr>
        <w:t> Radicado 100211232-68 del 19/02/2018</w:t>
      </w:r>
    </w:p>
    <w:p w:rsidR="00B5172D" w:rsidRPr="00B5172D" w:rsidRDefault="00B5172D" w:rsidP="00B5172D">
      <w:pPr>
        <w:spacing w:line="240" w:lineRule="auto"/>
        <w:rPr>
          <w:rFonts w:ascii="Arial" w:eastAsia="Times New Roman" w:hAnsi="Arial"/>
          <w:color w:val="000000"/>
          <w:sz w:val="18"/>
          <w:szCs w:val="18"/>
          <w:lang w:val="es-CO"/>
        </w:rPr>
      </w:pPr>
      <w:r w:rsidRPr="00B5172D">
        <w:rPr>
          <w:rFonts w:ascii="Segoe UI" w:eastAsia="Times New Roman" w:hAnsi="Segoe UI" w:cs="Segoe UI"/>
          <w:color w:val="000000"/>
          <w:sz w:val="18"/>
          <w:szCs w:val="18"/>
          <w:lang w:val="es-CO"/>
        </w:rPr>
        <w:t> </w:t>
      </w:r>
    </w:p>
    <w:p w:rsidR="00B5172D" w:rsidRPr="00B5172D" w:rsidRDefault="00B5172D" w:rsidP="00B5172D">
      <w:pPr>
        <w:spacing w:line="240" w:lineRule="auto"/>
        <w:rPr>
          <w:rFonts w:ascii="Arial" w:eastAsia="Times New Roman" w:hAnsi="Arial"/>
          <w:color w:val="000000"/>
          <w:sz w:val="18"/>
          <w:szCs w:val="18"/>
          <w:lang w:val="es-CO"/>
        </w:rPr>
      </w:pPr>
      <w:r w:rsidRPr="00B5172D">
        <w:rPr>
          <w:rFonts w:ascii="Segoe UI" w:eastAsia="Times New Roman" w:hAnsi="Segoe UI" w:cs="Segoe UI"/>
          <w:color w:val="000000"/>
          <w:sz w:val="18"/>
          <w:szCs w:val="18"/>
          <w:lang w:val="es-CO"/>
        </w:rPr>
        <w:t> </w:t>
      </w:r>
    </w:p>
    <w:p w:rsidR="00B5172D" w:rsidRPr="00B5172D" w:rsidRDefault="00B5172D" w:rsidP="00B5172D">
      <w:pPr>
        <w:spacing w:line="240" w:lineRule="auto"/>
        <w:rPr>
          <w:rFonts w:ascii="Arial" w:eastAsia="Times New Roman" w:hAnsi="Arial"/>
          <w:color w:val="000000"/>
          <w:sz w:val="18"/>
          <w:szCs w:val="18"/>
          <w:lang w:val="es-CO"/>
        </w:rPr>
      </w:pPr>
      <w:r w:rsidRPr="00B5172D">
        <w:rPr>
          <w:rFonts w:ascii="Segoe UI" w:eastAsia="Times New Roman" w:hAnsi="Segoe UI" w:cs="Segoe UI"/>
          <w:color w:val="000000"/>
          <w:sz w:val="18"/>
          <w:szCs w:val="18"/>
          <w:lang w:val="es-CO"/>
        </w:rPr>
        <w:t>Cordial saludo, Sr. Cañón:</w:t>
      </w:r>
    </w:p>
    <w:p w:rsidR="00B5172D" w:rsidRPr="00B5172D" w:rsidRDefault="00B5172D" w:rsidP="00B5172D">
      <w:pPr>
        <w:spacing w:line="240" w:lineRule="auto"/>
        <w:rPr>
          <w:rFonts w:ascii="Arial" w:eastAsia="Times New Roman" w:hAnsi="Arial"/>
          <w:color w:val="000000"/>
          <w:sz w:val="18"/>
          <w:szCs w:val="18"/>
          <w:lang w:val="es-CO"/>
        </w:rPr>
      </w:pPr>
      <w:r w:rsidRPr="00B5172D">
        <w:rPr>
          <w:rFonts w:ascii="Segoe UI" w:eastAsia="Times New Roman" w:hAnsi="Segoe UI" w:cs="Segoe UI"/>
          <w:color w:val="000000"/>
          <w:sz w:val="18"/>
          <w:szCs w:val="18"/>
          <w:lang w:val="es-CO"/>
        </w:rPr>
        <w:t> </w:t>
      </w:r>
    </w:p>
    <w:p w:rsidR="00B5172D" w:rsidRPr="00B5172D" w:rsidRDefault="00B5172D" w:rsidP="00B5172D">
      <w:pPr>
        <w:spacing w:line="240" w:lineRule="auto"/>
        <w:rPr>
          <w:rFonts w:ascii="Arial" w:eastAsia="Times New Roman" w:hAnsi="Arial"/>
          <w:color w:val="000000"/>
          <w:sz w:val="18"/>
          <w:szCs w:val="18"/>
          <w:lang w:val="es-CO"/>
        </w:rPr>
      </w:pPr>
      <w:r w:rsidRPr="00B5172D">
        <w:rPr>
          <w:rFonts w:ascii="Segoe UI" w:eastAsia="Times New Roman" w:hAnsi="Segoe UI" w:cs="Segoe UI"/>
          <w:color w:val="000000"/>
          <w:sz w:val="18"/>
          <w:szCs w:val="18"/>
          <w:lang w:val="es-CO"/>
        </w:rPr>
        <w:t>De conformidad con el artículo 20 del Decreto 4048 de 2008, esta Subdirección es competente para absolver las consultas que se formulen sobre la interpretación y aplicación de las normas tributarias del orden nacional, aduaneras y cambiarias en lo de competencia de la Dirección de Impuestos y Aduanas Nacionales.</w:t>
      </w:r>
    </w:p>
    <w:p w:rsidR="00B5172D" w:rsidRPr="00B5172D" w:rsidRDefault="00B5172D" w:rsidP="00B5172D">
      <w:pPr>
        <w:spacing w:line="240" w:lineRule="auto"/>
        <w:rPr>
          <w:rFonts w:ascii="Arial" w:eastAsia="Times New Roman" w:hAnsi="Arial"/>
          <w:color w:val="000000"/>
          <w:sz w:val="18"/>
          <w:szCs w:val="18"/>
          <w:lang w:val="es-CO"/>
        </w:rPr>
      </w:pPr>
      <w:r w:rsidRPr="00B5172D">
        <w:rPr>
          <w:rFonts w:ascii="Segoe UI" w:eastAsia="Times New Roman" w:hAnsi="Segoe UI" w:cs="Segoe UI"/>
          <w:color w:val="000000"/>
          <w:sz w:val="18"/>
          <w:szCs w:val="18"/>
          <w:lang w:val="es-CO"/>
        </w:rPr>
        <w:t> </w:t>
      </w:r>
    </w:p>
    <w:p w:rsidR="00B5172D" w:rsidRPr="00B5172D" w:rsidRDefault="00B5172D" w:rsidP="00B5172D">
      <w:pPr>
        <w:spacing w:line="240" w:lineRule="auto"/>
        <w:rPr>
          <w:rFonts w:ascii="Arial" w:eastAsia="Times New Roman" w:hAnsi="Arial"/>
          <w:color w:val="000000"/>
          <w:sz w:val="18"/>
          <w:szCs w:val="18"/>
          <w:lang w:val="es-CO"/>
        </w:rPr>
      </w:pPr>
      <w:r w:rsidRPr="00B5172D">
        <w:rPr>
          <w:rFonts w:ascii="Segoe UI" w:eastAsia="Times New Roman" w:hAnsi="Segoe UI" w:cs="Segoe UI"/>
          <w:color w:val="000000"/>
          <w:sz w:val="18"/>
          <w:szCs w:val="18"/>
          <w:lang w:val="es-CO"/>
        </w:rPr>
        <w:t>Procedente del Banco de la República y atendiendo el hecho que las preguntas relacionadas con el régimen cambiario serán atendidas por esa entidad, hemos recibido la consulta en la que indaga de la pregunta No. 4, en caso de obtener respuesta negativa la pregunta del numeral 3 ¿se genera el pago de alguna sanción?</w:t>
      </w:r>
    </w:p>
    <w:p w:rsidR="00B5172D" w:rsidRPr="00B5172D" w:rsidRDefault="00B5172D" w:rsidP="00B5172D">
      <w:pPr>
        <w:spacing w:line="240" w:lineRule="auto"/>
        <w:rPr>
          <w:rFonts w:ascii="Arial" w:eastAsia="Times New Roman" w:hAnsi="Arial"/>
          <w:color w:val="000000"/>
          <w:sz w:val="18"/>
          <w:szCs w:val="18"/>
          <w:lang w:val="es-CO"/>
        </w:rPr>
      </w:pPr>
      <w:r w:rsidRPr="00B5172D">
        <w:rPr>
          <w:rFonts w:ascii="Segoe UI" w:eastAsia="Times New Roman" w:hAnsi="Segoe UI" w:cs="Segoe UI"/>
          <w:color w:val="000000"/>
          <w:sz w:val="18"/>
          <w:szCs w:val="18"/>
          <w:lang w:val="es-CO"/>
        </w:rPr>
        <w:t> </w:t>
      </w:r>
    </w:p>
    <w:p w:rsidR="00B5172D" w:rsidRPr="00B5172D" w:rsidRDefault="00B5172D" w:rsidP="00B5172D">
      <w:pPr>
        <w:spacing w:line="240" w:lineRule="auto"/>
        <w:rPr>
          <w:rFonts w:ascii="Arial" w:eastAsia="Times New Roman" w:hAnsi="Arial"/>
          <w:color w:val="000000"/>
          <w:sz w:val="18"/>
          <w:szCs w:val="18"/>
          <w:lang w:val="es-CO"/>
        </w:rPr>
      </w:pPr>
      <w:r w:rsidRPr="00B5172D">
        <w:rPr>
          <w:rFonts w:ascii="Segoe UI" w:eastAsia="Times New Roman" w:hAnsi="Segoe UI" w:cs="Segoe UI"/>
          <w:color w:val="000000"/>
          <w:sz w:val="18"/>
          <w:szCs w:val="18"/>
          <w:lang w:val="es-CO"/>
        </w:rPr>
        <w:t>Al respecto se precisa que la Circular Reglamentaria DCIN 83 de Secretaría de la Junta Directiva del Banco de la República señala:</w:t>
      </w:r>
    </w:p>
    <w:p w:rsidR="00B5172D" w:rsidRPr="00B5172D" w:rsidRDefault="00B5172D" w:rsidP="00B5172D">
      <w:pPr>
        <w:spacing w:line="240" w:lineRule="auto"/>
        <w:rPr>
          <w:rFonts w:ascii="Arial" w:eastAsia="Times New Roman" w:hAnsi="Arial"/>
          <w:color w:val="000000"/>
          <w:sz w:val="18"/>
          <w:szCs w:val="18"/>
          <w:lang w:val="es-CO"/>
        </w:rPr>
      </w:pPr>
      <w:r w:rsidRPr="00B5172D">
        <w:rPr>
          <w:rFonts w:ascii="Segoe UI" w:eastAsia="Times New Roman" w:hAnsi="Segoe UI" w:cs="Segoe UI"/>
          <w:color w:val="000000"/>
          <w:sz w:val="18"/>
          <w:szCs w:val="18"/>
          <w:lang w:val="es-CO"/>
        </w:rPr>
        <w:t> </w:t>
      </w:r>
    </w:p>
    <w:p w:rsidR="00B5172D" w:rsidRPr="00B5172D" w:rsidRDefault="00B5172D" w:rsidP="00B5172D">
      <w:pPr>
        <w:spacing w:line="240" w:lineRule="auto"/>
        <w:ind w:left="180"/>
        <w:rPr>
          <w:rFonts w:ascii="Arial" w:eastAsia="Times New Roman" w:hAnsi="Arial"/>
          <w:color w:val="000000"/>
          <w:sz w:val="18"/>
          <w:szCs w:val="18"/>
          <w:lang w:val="es-CO"/>
        </w:rPr>
      </w:pPr>
      <w:r w:rsidRPr="00B5172D">
        <w:rPr>
          <w:rFonts w:ascii="Segoe UI" w:eastAsia="Times New Roman" w:hAnsi="Segoe UI" w:cs="Segoe UI"/>
          <w:i/>
          <w:iCs/>
          <w:color w:val="000000"/>
          <w:sz w:val="18"/>
          <w:szCs w:val="18"/>
          <w:lang w:val="es-CO"/>
        </w:rPr>
        <w:t>“5.2. Créditos Activos</w:t>
      </w:r>
    </w:p>
    <w:p w:rsidR="00B5172D" w:rsidRPr="00B5172D" w:rsidRDefault="00B5172D" w:rsidP="00B5172D">
      <w:pPr>
        <w:spacing w:line="240" w:lineRule="auto"/>
        <w:ind w:left="180"/>
        <w:rPr>
          <w:rFonts w:ascii="Arial" w:eastAsia="Times New Roman" w:hAnsi="Arial"/>
          <w:color w:val="000000"/>
          <w:sz w:val="18"/>
          <w:szCs w:val="18"/>
          <w:lang w:val="es-CO"/>
        </w:rPr>
      </w:pPr>
      <w:r w:rsidRPr="00B5172D">
        <w:rPr>
          <w:rFonts w:ascii="Segoe UI" w:eastAsia="Times New Roman" w:hAnsi="Segoe UI" w:cs="Segoe UI"/>
          <w:i/>
          <w:iCs/>
          <w:color w:val="000000"/>
          <w:sz w:val="18"/>
          <w:szCs w:val="18"/>
          <w:lang w:val="es-CO"/>
        </w:rPr>
        <w:t>5.2.1. Autorización</w:t>
      </w:r>
    </w:p>
    <w:p w:rsidR="00B5172D" w:rsidRPr="00B5172D" w:rsidRDefault="00B5172D" w:rsidP="00B5172D">
      <w:pPr>
        <w:spacing w:line="240" w:lineRule="auto"/>
        <w:ind w:left="180"/>
        <w:rPr>
          <w:rFonts w:ascii="Arial" w:eastAsia="Times New Roman" w:hAnsi="Arial"/>
          <w:color w:val="000000"/>
          <w:sz w:val="18"/>
          <w:szCs w:val="18"/>
          <w:lang w:val="es-CO"/>
        </w:rPr>
      </w:pPr>
      <w:r w:rsidRPr="00B5172D">
        <w:rPr>
          <w:rFonts w:ascii="Segoe UI" w:eastAsia="Times New Roman" w:hAnsi="Segoe UI" w:cs="Segoe UI"/>
          <w:i/>
          <w:iCs/>
          <w:color w:val="000000"/>
          <w:sz w:val="18"/>
          <w:szCs w:val="18"/>
          <w:lang w:val="es-CO"/>
        </w:rPr>
        <w:t>Los residentes y los IMC pueden otorgar créditos en moneda extranjera o en moneda legal a no residentes, conforme a lo previsto en los artículos 23, 24 y 59 de la RE 8/00 J.D.</w:t>
      </w:r>
    </w:p>
    <w:p w:rsidR="00B5172D" w:rsidRPr="00B5172D" w:rsidRDefault="00B5172D" w:rsidP="00B5172D">
      <w:pPr>
        <w:spacing w:line="240" w:lineRule="auto"/>
        <w:ind w:left="180"/>
        <w:rPr>
          <w:rFonts w:ascii="Arial" w:eastAsia="Times New Roman" w:hAnsi="Arial"/>
          <w:color w:val="000000"/>
          <w:sz w:val="18"/>
          <w:szCs w:val="18"/>
          <w:lang w:val="es-CO"/>
        </w:rPr>
      </w:pPr>
      <w:r w:rsidRPr="00B5172D">
        <w:rPr>
          <w:rFonts w:ascii="Segoe UI" w:eastAsia="Times New Roman" w:hAnsi="Segoe UI" w:cs="Segoe UI"/>
          <w:i/>
          <w:iCs/>
          <w:color w:val="000000"/>
          <w:sz w:val="18"/>
          <w:szCs w:val="18"/>
          <w:lang w:val="es-CO"/>
        </w:rPr>
        <w:t>5.2.2. Informe de endeudamiento externo otorgado a no residentes.</w:t>
      </w:r>
    </w:p>
    <w:p w:rsidR="00B5172D" w:rsidRPr="00B5172D" w:rsidRDefault="00B5172D" w:rsidP="00B5172D">
      <w:pPr>
        <w:spacing w:line="240" w:lineRule="auto"/>
        <w:ind w:left="180"/>
        <w:rPr>
          <w:rFonts w:ascii="Arial" w:eastAsia="Times New Roman" w:hAnsi="Arial"/>
          <w:color w:val="000000"/>
          <w:sz w:val="18"/>
          <w:szCs w:val="18"/>
          <w:lang w:val="es-CO"/>
        </w:rPr>
      </w:pPr>
      <w:r w:rsidRPr="00B5172D">
        <w:rPr>
          <w:rFonts w:ascii="Segoe UI" w:eastAsia="Times New Roman" w:hAnsi="Segoe UI" w:cs="Segoe UI"/>
          <w:i/>
          <w:iCs/>
          <w:color w:val="000000"/>
          <w:sz w:val="18"/>
          <w:szCs w:val="18"/>
          <w:lang w:val="es-CO"/>
        </w:rPr>
        <w:t> </w:t>
      </w:r>
    </w:p>
    <w:p w:rsidR="00B5172D" w:rsidRPr="00B5172D" w:rsidRDefault="00B5172D" w:rsidP="00B5172D">
      <w:pPr>
        <w:spacing w:line="240" w:lineRule="auto"/>
        <w:ind w:left="180"/>
        <w:rPr>
          <w:rFonts w:ascii="Arial" w:eastAsia="Times New Roman" w:hAnsi="Arial"/>
          <w:color w:val="000000"/>
          <w:sz w:val="18"/>
          <w:szCs w:val="18"/>
          <w:lang w:val="es-CO"/>
        </w:rPr>
      </w:pPr>
      <w:r w:rsidRPr="00B5172D">
        <w:rPr>
          <w:rFonts w:ascii="Segoe UI" w:eastAsia="Times New Roman" w:hAnsi="Segoe UI" w:cs="Segoe UI"/>
          <w:b/>
          <w:bCs/>
          <w:i/>
          <w:iCs/>
          <w:color w:val="000000"/>
          <w:sz w:val="18"/>
          <w:szCs w:val="18"/>
          <w:u w:val="single"/>
          <w:lang w:val="es-CO"/>
        </w:rPr>
        <w:t>Los créditos otorgados a no residentes deberán informarse al BR a través de los IMC, mediante el diligenciamiento del Formulario No. 7 “Información de endeudamiento externo otorgado a no residentes” en original y una copia, en forma previa o forma simultánea con el desembolso del respectivo crédito.</w:t>
      </w:r>
    </w:p>
    <w:p w:rsidR="00B5172D" w:rsidRPr="00B5172D" w:rsidRDefault="00B5172D" w:rsidP="00B5172D">
      <w:pPr>
        <w:spacing w:line="240" w:lineRule="auto"/>
        <w:ind w:left="180"/>
        <w:rPr>
          <w:rFonts w:ascii="Arial" w:eastAsia="Times New Roman" w:hAnsi="Arial"/>
          <w:color w:val="000000"/>
          <w:sz w:val="18"/>
          <w:szCs w:val="18"/>
          <w:lang w:val="es-CO"/>
        </w:rPr>
      </w:pPr>
      <w:r w:rsidRPr="00B5172D">
        <w:rPr>
          <w:rFonts w:ascii="Segoe UI" w:eastAsia="Times New Roman" w:hAnsi="Segoe UI" w:cs="Segoe UI"/>
          <w:b/>
          <w:bCs/>
          <w:i/>
          <w:iCs/>
          <w:color w:val="000000"/>
          <w:sz w:val="18"/>
          <w:szCs w:val="18"/>
          <w:lang w:val="es-CO"/>
        </w:rPr>
        <w:t> </w:t>
      </w:r>
    </w:p>
    <w:p w:rsidR="00B5172D" w:rsidRPr="00B5172D" w:rsidRDefault="00B5172D" w:rsidP="00B5172D">
      <w:pPr>
        <w:spacing w:line="240" w:lineRule="auto"/>
        <w:ind w:left="180"/>
        <w:rPr>
          <w:rFonts w:ascii="Arial" w:eastAsia="Times New Roman" w:hAnsi="Arial"/>
          <w:color w:val="000000"/>
          <w:sz w:val="18"/>
          <w:szCs w:val="18"/>
          <w:lang w:val="es-CO"/>
        </w:rPr>
      </w:pPr>
      <w:r w:rsidRPr="00B5172D">
        <w:rPr>
          <w:rFonts w:ascii="Segoe UI" w:eastAsia="Times New Roman" w:hAnsi="Segoe UI" w:cs="Segoe UI"/>
          <w:i/>
          <w:iCs/>
          <w:color w:val="000000"/>
          <w:sz w:val="18"/>
          <w:szCs w:val="18"/>
          <w:lang w:val="es-CO"/>
        </w:rPr>
        <w:t>Para el Formulario No. 7 “Información de endeudamiento externo otorgado a no residentes” se deberá contar con un código que identifique al deudor.  Cuando el deudor no tenga asignado un código por parte del BR, el residente (acreedor) su apoderado o mandatario obtendrá el código a través de los IMC, siguiendo el procedimiento previsto en el instructivo del mencionado Formulario 7.</w:t>
      </w:r>
    </w:p>
    <w:p w:rsidR="00B5172D" w:rsidRPr="00B5172D" w:rsidRDefault="00B5172D" w:rsidP="00B5172D">
      <w:pPr>
        <w:spacing w:line="240" w:lineRule="auto"/>
        <w:ind w:left="180"/>
        <w:rPr>
          <w:rFonts w:ascii="Arial" w:eastAsia="Times New Roman" w:hAnsi="Arial"/>
          <w:color w:val="000000"/>
          <w:sz w:val="18"/>
          <w:szCs w:val="18"/>
          <w:lang w:val="es-CO"/>
        </w:rPr>
      </w:pPr>
      <w:r w:rsidRPr="00B5172D">
        <w:rPr>
          <w:rFonts w:ascii="Segoe UI" w:eastAsia="Times New Roman" w:hAnsi="Segoe UI" w:cs="Segoe UI"/>
          <w:i/>
          <w:iCs/>
          <w:color w:val="000000"/>
          <w:sz w:val="18"/>
          <w:szCs w:val="18"/>
          <w:lang w:val="es-CO"/>
        </w:rPr>
        <w:t>(…)</w:t>
      </w:r>
    </w:p>
    <w:p w:rsidR="00B5172D" w:rsidRPr="00B5172D" w:rsidRDefault="00B5172D" w:rsidP="00B5172D">
      <w:pPr>
        <w:spacing w:line="240" w:lineRule="auto"/>
        <w:ind w:left="180"/>
        <w:rPr>
          <w:rFonts w:ascii="Arial" w:eastAsia="Times New Roman" w:hAnsi="Arial"/>
          <w:color w:val="000000"/>
          <w:sz w:val="18"/>
          <w:szCs w:val="18"/>
          <w:lang w:val="es-CO"/>
        </w:rPr>
      </w:pPr>
      <w:r w:rsidRPr="00B5172D">
        <w:rPr>
          <w:rFonts w:ascii="Segoe UI" w:eastAsia="Times New Roman" w:hAnsi="Segoe UI" w:cs="Segoe UI"/>
          <w:i/>
          <w:iCs/>
          <w:color w:val="000000"/>
          <w:sz w:val="18"/>
          <w:szCs w:val="18"/>
          <w:lang w:val="es-CO"/>
        </w:rPr>
        <w:t>“5.2.3. </w:t>
      </w:r>
      <w:r w:rsidRPr="00B5172D">
        <w:rPr>
          <w:rFonts w:ascii="Segoe UI" w:eastAsia="Times New Roman" w:hAnsi="Segoe UI" w:cs="Segoe UI"/>
          <w:b/>
          <w:bCs/>
          <w:i/>
          <w:iCs/>
          <w:color w:val="000000"/>
          <w:sz w:val="18"/>
          <w:szCs w:val="18"/>
          <w:lang w:val="es-CO"/>
        </w:rPr>
        <w:t>Desembolsos en moneda extranjera y pagos.</w:t>
      </w:r>
    </w:p>
    <w:p w:rsidR="00B5172D" w:rsidRPr="00B5172D" w:rsidRDefault="00B5172D" w:rsidP="00B5172D">
      <w:pPr>
        <w:spacing w:line="240" w:lineRule="auto"/>
        <w:ind w:left="180"/>
        <w:rPr>
          <w:rFonts w:ascii="Arial" w:eastAsia="Times New Roman" w:hAnsi="Arial"/>
          <w:color w:val="000000"/>
          <w:sz w:val="18"/>
          <w:szCs w:val="18"/>
          <w:lang w:val="es-CO"/>
        </w:rPr>
      </w:pPr>
      <w:r w:rsidRPr="00B5172D">
        <w:rPr>
          <w:rFonts w:ascii="Segoe UI" w:eastAsia="Times New Roman" w:hAnsi="Segoe UI" w:cs="Segoe UI"/>
          <w:b/>
          <w:bCs/>
          <w:i/>
          <w:iCs/>
          <w:color w:val="000000"/>
          <w:sz w:val="18"/>
          <w:szCs w:val="18"/>
          <w:lang w:val="es-CO"/>
        </w:rPr>
        <w:t> </w:t>
      </w:r>
    </w:p>
    <w:p w:rsidR="00B5172D" w:rsidRPr="00B5172D" w:rsidRDefault="00B5172D" w:rsidP="00B5172D">
      <w:pPr>
        <w:spacing w:line="240" w:lineRule="auto"/>
        <w:ind w:left="180"/>
        <w:rPr>
          <w:rFonts w:ascii="Arial" w:eastAsia="Times New Roman" w:hAnsi="Arial"/>
          <w:color w:val="000000"/>
          <w:sz w:val="18"/>
          <w:szCs w:val="18"/>
          <w:lang w:val="es-CO"/>
        </w:rPr>
      </w:pPr>
      <w:r w:rsidRPr="00B5172D">
        <w:rPr>
          <w:rFonts w:ascii="Segoe UI" w:eastAsia="Times New Roman" w:hAnsi="Segoe UI" w:cs="Segoe UI"/>
          <w:i/>
          <w:iCs/>
          <w:color w:val="000000"/>
          <w:sz w:val="18"/>
          <w:szCs w:val="18"/>
          <w:lang w:val="es-CO"/>
        </w:rPr>
        <w:t>Los ingresos y egresos de divisas originados en operaciones de préstamos de residentes a no residentes, deberán canalizarse a través de los IMC o de las cuentas de compensación, mediante el suministro de la información de los datos mínimos de las operaciones de cambio por endeudamiento externo (Declaración de Cambio) exigida en el numeral 5.4 de este Capítulo, entre otros, el número de identificación del crédito asignado por el IMC en el momento de remitir la información al BR.  Solamente cuando se complete el trámite y se asigne el número de identificación del crédito se podrá efectuar la venta de las divisas por parte del IMC o el correspondiente cargo en la cuenta de compensación.  </w:t>
      </w:r>
      <w:r w:rsidRPr="00B5172D">
        <w:rPr>
          <w:rFonts w:ascii="Segoe UI" w:eastAsia="Times New Roman" w:hAnsi="Segoe UI" w:cs="Segoe UI"/>
          <w:b/>
          <w:bCs/>
          <w:i/>
          <w:iCs/>
          <w:color w:val="000000"/>
          <w:sz w:val="18"/>
          <w:szCs w:val="18"/>
          <w:u w:val="single"/>
          <w:lang w:val="es-CO"/>
        </w:rPr>
        <w:t xml:space="preserve">Si los préstamos son otorgados por los IMC a no residentes, los IMC deberán transmitir dentro de los quince (15) días hábiles siguientes a la fecha del desembolso o pago del </w:t>
      </w:r>
      <w:proofErr w:type="spellStart"/>
      <w:r w:rsidRPr="00B5172D">
        <w:rPr>
          <w:rFonts w:ascii="Segoe UI" w:eastAsia="Times New Roman" w:hAnsi="Segoe UI" w:cs="Segoe UI"/>
          <w:b/>
          <w:bCs/>
          <w:i/>
          <w:iCs/>
          <w:color w:val="000000"/>
          <w:sz w:val="18"/>
          <w:szCs w:val="18"/>
          <w:u w:val="single"/>
          <w:lang w:val="es-CO"/>
        </w:rPr>
        <w:t>préstamo,</w:t>
      </w:r>
      <w:r w:rsidRPr="00B5172D">
        <w:rPr>
          <w:rFonts w:ascii="Segoe UI" w:eastAsia="Times New Roman" w:hAnsi="Segoe UI" w:cs="Segoe UI"/>
          <w:i/>
          <w:iCs/>
          <w:color w:val="000000"/>
          <w:sz w:val="18"/>
          <w:szCs w:val="18"/>
          <w:lang w:val="es-CO"/>
        </w:rPr>
        <w:t>la</w:t>
      </w:r>
      <w:proofErr w:type="spellEnd"/>
      <w:r w:rsidRPr="00B5172D">
        <w:rPr>
          <w:rFonts w:ascii="Segoe UI" w:eastAsia="Times New Roman" w:hAnsi="Segoe UI" w:cs="Segoe UI"/>
          <w:i/>
          <w:iCs/>
          <w:color w:val="000000"/>
          <w:sz w:val="18"/>
          <w:szCs w:val="18"/>
          <w:lang w:val="es-CO"/>
        </w:rPr>
        <w:t xml:space="preserve"> información de los datos mínimos de excepciones a la canalización, utilizando el sitio Web </w:t>
      </w:r>
      <w:hyperlink r:id="rId4" w:history="1">
        <w:r w:rsidRPr="00B5172D">
          <w:rPr>
            <w:rFonts w:ascii="Segoe UI" w:eastAsia="Times New Roman" w:hAnsi="Segoe UI" w:cs="Segoe UI"/>
            <w:i/>
            <w:iCs/>
            <w:color w:val="0563C1"/>
            <w:sz w:val="18"/>
            <w:szCs w:val="18"/>
            <w:u w:val="single"/>
            <w:lang w:val="es-CO"/>
          </w:rPr>
          <w:t>www.banrep.gov.co</w:t>
        </w:r>
      </w:hyperlink>
      <w:r w:rsidRPr="00B5172D">
        <w:rPr>
          <w:rFonts w:ascii="Segoe UI" w:eastAsia="Times New Roman" w:hAnsi="Segoe UI" w:cs="Segoe UI"/>
          <w:i/>
          <w:iCs/>
          <w:color w:val="000000"/>
          <w:sz w:val="18"/>
          <w:szCs w:val="18"/>
          <w:lang w:val="es-CO"/>
        </w:rPr>
        <w:t>, opción “Servicios Electrónicos de Cambios Internacionales”, “Formularios”.“ (</w:t>
      </w:r>
      <w:r w:rsidRPr="00B5172D">
        <w:rPr>
          <w:rFonts w:ascii="Segoe UI" w:eastAsia="Times New Roman" w:hAnsi="Segoe UI" w:cs="Segoe UI"/>
          <w:color w:val="000000"/>
          <w:sz w:val="18"/>
          <w:szCs w:val="18"/>
          <w:lang w:val="es-CO"/>
        </w:rPr>
        <w:t>negrilla y subrayado fuera de texto).</w:t>
      </w:r>
    </w:p>
    <w:p w:rsidR="00B5172D" w:rsidRPr="00B5172D" w:rsidRDefault="00B5172D" w:rsidP="00B5172D">
      <w:pPr>
        <w:spacing w:line="240" w:lineRule="auto"/>
        <w:rPr>
          <w:rFonts w:ascii="Arial" w:eastAsia="Times New Roman" w:hAnsi="Arial"/>
          <w:color w:val="000000"/>
          <w:sz w:val="18"/>
          <w:szCs w:val="18"/>
          <w:lang w:val="es-CO"/>
        </w:rPr>
      </w:pPr>
      <w:r w:rsidRPr="00B5172D">
        <w:rPr>
          <w:rFonts w:ascii="Segoe UI" w:eastAsia="Times New Roman" w:hAnsi="Segoe UI" w:cs="Segoe UI"/>
          <w:color w:val="000000"/>
          <w:sz w:val="18"/>
          <w:szCs w:val="18"/>
          <w:lang w:val="es-CO"/>
        </w:rPr>
        <w:t> </w:t>
      </w:r>
    </w:p>
    <w:p w:rsidR="00B5172D" w:rsidRPr="00B5172D" w:rsidRDefault="00B5172D" w:rsidP="00B5172D">
      <w:pPr>
        <w:spacing w:line="240" w:lineRule="auto"/>
        <w:rPr>
          <w:rFonts w:ascii="Arial" w:eastAsia="Times New Roman" w:hAnsi="Arial"/>
          <w:color w:val="000000"/>
          <w:sz w:val="18"/>
          <w:szCs w:val="18"/>
          <w:lang w:val="es-CO"/>
        </w:rPr>
      </w:pPr>
      <w:r w:rsidRPr="00B5172D">
        <w:rPr>
          <w:rFonts w:ascii="Segoe UI" w:eastAsia="Times New Roman" w:hAnsi="Segoe UI" w:cs="Segoe UI"/>
          <w:color w:val="000000"/>
          <w:sz w:val="18"/>
          <w:szCs w:val="18"/>
          <w:lang w:val="es-CO"/>
        </w:rPr>
        <w:t>De acuerdo a la norma citada, los residentes pueden acordar créditos con no residentes, los cuales deberán informarse al Banco de la República a través de los intermediarios del mercado cambiario en forma previa o forma simultánea con el desembolso del respectivo crédito en el formulario No. 7.</w:t>
      </w:r>
    </w:p>
    <w:p w:rsidR="00B5172D" w:rsidRPr="00B5172D" w:rsidRDefault="00B5172D" w:rsidP="00B5172D">
      <w:pPr>
        <w:spacing w:line="240" w:lineRule="auto"/>
        <w:rPr>
          <w:rFonts w:ascii="Arial" w:eastAsia="Times New Roman" w:hAnsi="Arial"/>
          <w:color w:val="000000"/>
          <w:sz w:val="18"/>
          <w:szCs w:val="18"/>
          <w:lang w:val="es-CO"/>
        </w:rPr>
      </w:pPr>
      <w:r w:rsidRPr="00B5172D">
        <w:rPr>
          <w:rFonts w:ascii="Segoe UI" w:eastAsia="Times New Roman" w:hAnsi="Segoe UI" w:cs="Segoe UI"/>
          <w:color w:val="000000"/>
          <w:sz w:val="18"/>
          <w:szCs w:val="18"/>
          <w:lang w:val="es-CO"/>
        </w:rPr>
        <w:lastRenderedPageBreak/>
        <w:t> </w:t>
      </w:r>
    </w:p>
    <w:p w:rsidR="00B5172D" w:rsidRPr="00B5172D" w:rsidRDefault="00B5172D" w:rsidP="00B5172D">
      <w:pPr>
        <w:spacing w:line="240" w:lineRule="auto"/>
        <w:rPr>
          <w:rFonts w:ascii="Arial" w:eastAsia="Times New Roman" w:hAnsi="Arial"/>
          <w:color w:val="000000"/>
          <w:sz w:val="18"/>
          <w:szCs w:val="18"/>
          <w:lang w:val="es-CO"/>
        </w:rPr>
      </w:pPr>
      <w:r w:rsidRPr="00B5172D">
        <w:rPr>
          <w:rFonts w:ascii="Segoe UI" w:eastAsia="Times New Roman" w:hAnsi="Segoe UI" w:cs="Segoe UI"/>
          <w:color w:val="000000"/>
          <w:sz w:val="18"/>
          <w:szCs w:val="18"/>
          <w:lang w:val="es-CO"/>
        </w:rPr>
        <w:t>Cuando se trata de crédito (Sic) otorgados a no residentes, dentro de los quince (15) días hábiles siguientes a la fecha del desembolso, el deudor deberá transmitir, vía electrónica, el “Informe de desembolsos y pagos por endeudamiento externo” (Formulario No. 3A), a través del IMC o directamente al BR si es titular de cuenta de compensación.</w:t>
      </w:r>
    </w:p>
    <w:p w:rsidR="00B5172D" w:rsidRPr="00B5172D" w:rsidRDefault="00B5172D" w:rsidP="00B5172D">
      <w:pPr>
        <w:spacing w:line="240" w:lineRule="auto"/>
        <w:rPr>
          <w:rFonts w:ascii="Arial" w:eastAsia="Times New Roman" w:hAnsi="Arial"/>
          <w:color w:val="000000"/>
          <w:sz w:val="18"/>
          <w:szCs w:val="18"/>
          <w:lang w:val="es-CO"/>
        </w:rPr>
      </w:pPr>
      <w:r w:rsidRPr="00B5172D">
        <w:rPr>
          <w:rFonts w:ascii="Segoe UI" w:eastAsia="Times New Roman" w:hAnsi="Segoe UI" w:cs="Segoe UI"/>
          <w:color w:val="000000"/>
          <w:sz w:val="18"/>
          <w:szCs w:val="18"/>
          <w:lang w:val="es-CO"/>
        </w:rPr>
        <w:t> </w:t>
      </w:r>
    </w:p>
    <w:p w:rsidR="00B5172D" w:rsidRPr="00B5172D" w:rsidRDefault="00B5172D" w:rsidP="00B5172D">
      <w:pPr>
        <w:spacing w:line="240" w:lineRule="auto"/>
        <w:rPr>
          <w:rFonts w:ascii="Arial" w:eastAsia="Times New Roman" w:hAnsi="Arial"/>
          <w:color w:val="000000"/>
          <w:sz w:val="18"/>
          <w:szCs w:val="18"/>
          <w:lang w:val="es-CO"/>
        </w:rPr>
      </w:pPr>
      <w:r w:rsidRPr="00B5172D">
        <w:rPr>
          <w:rFonts w:ascii="Segoe UI" w:eastAsia="Times New Roman" w:hAnsi="Segoe UI" w:cs="Segoe UI"/>
          <w:color w:val="000000"/>
          <w:sz w:val="18"/>
          <w:szCs w:val="18"/>
          <w:lang w:val="es-CO"/>
        </w:rPr>
        <w:t>En el evento de incumplirse esta obligación procederá la imposición de la sanción prevista en el los (Sic) numerales 16 y 17 del artículo 3 del Decreto 2245 de 2011 que establecen:</w:t>
      </w:r>
    </w:p>
    <w:p w:rsidR="00B5172D" w:rsidRPr="00B5172D" w:rsidRDefault="00B5172D" w:rsidP="00B5172D">
      <w:pPr>
        <w:spacing w:line="240" w:lineRule="auto"/>
        <w:rPr>
          <w:rFonts w:ascii="Arial" w:eastAsia="Times New Roman" w:hAnsi="Arial"/>
          <w:color w:val="000000"/>
          <w:sz w:val="18"/>
          <w:szCs w:val="18"/>
          <w:lang w:val="es-CO"/>
        </w:rPr>
      </w:pPr>
      <w:r w:rsidRPr="00B5172D">
        <w:rPr>
          <w:rFonts w:ascii="Segoe UI" w:eastAsia="Times New Roman" w:hAnsi="Segoe UI" w:cs="Segoe UI"/>
          <w:color w:val="000000"/>
          <w:sz w:val="18"/>
          <w:szCs w:val="18"/>
          <w:lang w:val="es-CO"/>
        </w:rPr>
        <w:t> </w:t>
      </w:r>
    </w:p>
    <w:p w:rsidR="00B5172D" w:rsidRPr="00B5172D" w:rsidRDefault="00B5172D" w:rsidP="00B5172D">
      <w:pPr>
        <w:spacing w:line="240" w:lineRule="auto"/>
        <w:ind w:left="180"/>
        <w:rPr>
          <w:rFonts w:ascii="Arial" w:eastAsia="Times New Roman" w:hAnsi="Arial"/>
          <w:color w:val="000000"/>
          <w:sz w:val="18"/>
          <w:szCs w:val="18"/>
          <w:lang w:val="es-CO"/>
        </w:rPr>
      </w:pPr>
      <w:r w:rsidRPr="00B5172D">
        <w:rPr>
          <w:rFonts w:ascii="Segoe UI" w:eastAsia="Times New Roman" w:hAnsi="Segoe UI" w:cs="Segoe UI"/>
          <w:i/>
          <w:iCs/>
          <w:color w:val="000000"/>
          <w:sz w:val="18"/>
          <w:szCs w:val="18"/>
          <w:lang w:val="es-CO"/>
        </w:rPr>
        <w:t>“Incumplimiento de las obligaciones de solicitar la autorización previa al Banco de la República; o de registrar, reportar, transmitir, actualizar o informar directamente a dicha Entidad o a través de los intermediarios del mercado cambiario.</w:t>
      </w:r>
    </w:p>
    <w:p w:rsidR="00B5172D" w:rsidRPr="00B5172D" w:rsidRDefault="00B5172D" w:rsidP="00B5172D">
      <w:pPr>
        <w:spacing w:line="240" w:lineRule="auto"/>
        <w:ind w:left="180"/>
        <w:rPr>
          <w:rFonts w:ascii="Arial" w:eastAsia="Times New Roman" w:hAnsi="Arial"/>
          <w:color w:val="000000"/>
          <w:sz w:val="18"/>
          <w:szCs w:val="18"/>
          <w:lang w:val="es-CO"/>
        </w:rPr>
      </w:pPr>
      <w:r w:rsidRPr="00B5172D">
        <w:rPr>
          <w:rFonts w:ascii="Segoe UI" w:eastAsia="Times New Roman" w:hAnsi="Segoe UI" w:cs="Segoe UI"/>
          <w:i/>
          <w:iCs/>
          <w:color w:val="000000"/>
          <w:sz w:val="18"/>
          <w:szCs w:val="18"/>
          <w:lang w:val="es-CO"/>
        </w:rPr>
        <w:t> </w:t>
      </w:r>
    </w:p>
    <w:p w:rsidR="00B5172D" w:rsidRPr="00B5172D" w:rsidRDefault="00B5172D" w:rsidP="00B5172D">
      <w:pPr>
        <w:spacing w:line="240" w:lineRule="auto"/>
        <w:ind w:left="180"/>
        <w:rPr>
          <w:rFonts w:ascii="Arial" w:eastAsia="Times New Roman" w:hAnsi="Arial"/>
          <w:color w:val="000000"/>
          <w:sz w:val="18"/>
          <w:szCs w:val="18"/>
          <w:lang w:val="es-CO"/>
        </w:rPr>
      </w:pPr>
      <w:r w:rsidRPr="00B5172D">
        <w:rPr>
          <w:rFonts w:ascii="Segoe UI" w:eastAsia="Times New Roman" w:hAnsi="Segoe UI" w:cs="Segoe UI"/>
          <w:i/>
          <w:iCs/>
          <w:color w:val="000000"/>
          <w:sz w:val="18"/>
          <w:szCs w:val="18"/>
          <w:lang w:val="es-CO"/>
        </w:rPr>
        <w:t>16. Cuando fuera de los casos previstos en los numerales anteriores no se cumplan las obligaciones de solicitar la autorización previa al Banco de la República; o de registrar, reportar, transmitir o informar, directamente ante el Banco de la República o ante o a través de los intermediarios del mercado cambiario, la información o las operaciones para las cuales el régimen cambiario lo exija, se impondrá por cada incumplimiento una multa equivalente a doscientas (200) Unidades de Valor Tributario (UVT)”.</w:t>
      </w:r>
    </w:p>
    <w:p w:rsidR="00B5172D" w:rsidRPr="00B5172D" w:rsidRDefault="00B5172D" w:rsidP="00B5172D">
      <w:pPr>
        <w:spacing w:line="240" w:lineRule="auto"/>
        <w:ind w:left="180"/>
        <w:rPr>
          <w:rFonts w:ascii="Arial" w:eastAsia="Times New Roman" w:hAnsi="Arial"/>
          <w:color w:val="000000"/>
          <w:sz w:val="18"/>
          <w:szCs w:val="18"/>
          <w:lang w:val="es-CO"/>
        </w:rPr>
      </w:pPr>
      <w:r w:rsidRPr="00B5172D">
        <w:rPr>
          <w:rFonts w:ascii="Segoe UI" w:eastAsia="Times New Roman" w:hAnsi="Segoe UI" w:cs="Segoe UI"/>
          <w:i/>
          <w:iCs/>
          <w:color w:val="000000"/>
          <w:sz w:val="18"/>
          <w:szCs w:val="18"/>
          <w:lang w:val="es-CO"/>
        </w:rPr>
        <w:t> </w:t>
      </w:r>
    </w:p>
    <w:p w:rsidR="00B5172D" w:rsidRPr="00B5172D" w:rsidRDefault="00B5172D" w:rsidP="00B5172D">
      <w:pPr>
        <w:spacing w:line="240" w:lineRule="auto"/>
        <w:ind w:left="180"/>
        <w:rPr>
          <w:rFonts w:ascii="Arial" w:eastAsia="Times New Roman" w:hAnsi="Arial"/>
          <w:color w:val="000000"/>
          <w:sz w:val="18"/>
          <w:szCs w:val="18"/>
          <w:lang w:val="es-CO"/>
        </w:rPr>
      </w:pPr>
      <w:r w:rsidRPr="00B5172D">
        <w:rPr>
          <w:rFonts w:ascii="Segoe UI" w:eastAsia="Times New Roman" w:hAnsi="Segoe UI" w:cs="Segoe UI"/>
          <w:i/>
          <w:iCs/>
          <w:color w:val="000000"/>
          <w:sz w:val="18"/>
          <w:szCs w:val="18"/>
          <w:lang w:val="es-CO"/>
        </w:rPr>
        <w:t>17.  Cuando fuera de los casos previstos en los numerales anteriores se cumplan en forma extemporánea las obligaciones de registrar, reportar, transmitir o informar directamente ante el Banco de la República o ante o a través de los intermediarios del mercado cambiario, la información o las operaciones para las cuales el régimen cambiario lo exija, se impondrá una multa equivalente a veinticinco (25) Unidades de Valor Tributario (UVT) por cada mes o fracción de mes de retardo, sin exceder del equivalente a cien (100) Unidades de Valor Tributario (UVT), por cada obligación cumplida por fuera del término legal”</w:t>
      </w:r>
    </w:p>
    <w:p w:rsidR="00B5172D" w:rsidRPr="00B5172D" w:rsidRDefault="00B5172D" w:rsidP="00B5172D">
      <w:pPr>
        <w:spacing w:line="240" w:lineRule="auto"/>
        <w:rPr>
          <w:rFonts w:ascii="Arial" w:eastAsia="Times New Roman" w:hAnsi="Arial"/>
          <w:color w:val="000000"/>
          <w:sz w:val="18"/>
          <w:szCs w:val="18"/>
          <w:lang w:val="es-CO"/>
        </w:rPr>
      </w:pPr>
      <w:r w:rsidRPr="00B5172D">
        <w:rPr>
          <w:rFonts w:ascii="Segoe UI" w:eastAsia="Times New Roman" w:hAnsi="Segoe UI" w:cs="Segoe UI"/>
          <w:i/>
          <w:iCs/>
          <w:color w:val="000000"/>
          <w:sz w:val="18"/>
          <w:szCs w:val="18"/>
          <w:lang w:val="es-CO"/>
        </w:rPr>
        <w:t> </w:t>
      </w:r>
    </w:p>
    <w:p w:rsidR="00B5172D" w:rsidRPr="00B5172D" w:rsidRDefault="00B5172D" w:rsidP="00B5172D">
      <w:pPr>
        <w:spacing w:line="240" w:lineRule="auto"/>
        <w:rPr>
          <w:rFonts w:ascii="Arial" w:eastAsia="Times New Roman" w:hAnsi="Arial"/>
          <w:color w:val="000000"/>
          <w:sz w:val="18"/>
          <w:szCs w:val="18"/>
          <w:lang w:val="es-CO"/>
        </w:rPr>
      </w:pPr>
      <w:bookmarkStart w:id="0" w:name="_GoBack"/>
      <w:bookmarkEnd w:id="0"/>
      <w:r w:rsidRPr="00B5172D">
        <w:rPr>
          <w:rFonts w:ascii="Segoe UI" w:eastAsia="Times New Roman" w:hAnsi="Segoe UI" w:cs="Segoe UI"/>
          <w:color w:val="000000"/>
          <w:sz w:val="18"/>
          <w:szCs w:val="18"/>
          <w:lang w:val="es-CO"/>
        </w:rPr>
        <w:t> </w:t>
      </w:r>
    </w:p>
    <w:p w:rsidR="00B5172D" w:rsidRPr="00B5172D" w:rsidRDefault="00B5172D" w:rsidP="00B5172D">
      <w:pPr>
        <w:spacing w:line="240" w:lineRule="auto"/>
        <w:rPr>
          <w:rFonts w:ascii="Arial" w:eastAsia="Times New Roman" w:hAnsi="Arial"/>
          <w:color w:val="000000"/>
          <w:sz w:val="18"/>
          <w:szCs w:val="18"/>
          <w:lang w:val="es-CO"/>
        </w:rPr>
      </w:pPr>
      <w:r w:rsidRPr="00B5172D">
        <w:rPr>
          <w:rFonts w:ascii="Segoe UI" w:eastAsia="Times New Roman" w:hAnsi="Segoe UI" w:cs="Segoe UI"/>
          <w:color w:val="000000"/>
          <w:sz w:val="18"/>
          <w:szCs w:val="18"/>
          <w:lang w:val="es-CO"/>
        </w:rPr>
        <w:t>Atentamente,</w:t>
      </w:r>
    </w:p>
    <w:p w:rsidR="00B5172D" w:rsidRPr="00B5172D" w:rsidRDefault="00B5172D" w:rsidP="00B5172D">
      <w:pPr>
        <w:spacing w:line="240" w:lineRule="auto"/>
        <w:rPr>
          <w:rFonts w:ascii="Arial" w:eastAsia="Times New Roman" w:hAnsi="Arial"/>
          <w:color w:val="000000"/>
          <w:sz w:val="18"/>
          <w:szCs w:val="18"/>
          <w:lang w:val="es-CO"/>
        </w:rPr>
      </w:pPr>
      <w:r w:rsidRPr="00B5172D">
        <w:rPr>
          <w:rFonts w:ascii="Segoe UI" w:eastAsia="Times New Roman" w:hAnsi="Segoe UI" w:cs="Segoe UI"/>
          <w:color w:val="000000"/>
          <w:sz w:val="18"/>
          <w:szCs w:val="18"/>
          <w:lang w:val="es-CO"/>
        </w:rPr>
        <w:t> </w:t>
      </w:r>
    </w:p>
    <w:p w:rsidR="00B5172D" w:rsidRPr="00B5172D" w:rsidRDefault="00B5172D" w:rsidP="00B5172D">
      <w:pPr>
        <w:spacing w:line="240" w:lineRule="auto"/>
        <w:rPr>
          <w:rFonts w:ascii="Arial" w:eastAsia="Times New Roman" w:hAnsi="Arial"/>
          <w:color w:val="000000"/>
          <w:sz w:val="18"/>
          <w:szCs w:val="18"/>
          <w:lang w:val="es-CO"/>
        </w:rPr>
      </w:pPr>
      <w:r w:rsidRPr="00B5172D">
        <w:rPr>
          <w:rFonts w:ascii="Segoe UI" w:eastAsia="Times New Roman" w:hAnsi="Segoe UI" w:cs="Segoe UI"/>
          <w:color w:val="000000"/>
          <w:sz w:val="18"/>
          <w:szCs w:val="18"/>
          <w:lang w:val="es-CO"/>
        </w:rPr>
        <w:t> </w:t>
      </w:r>
    </w:p>
    <w:p w:rsidR="00B5172D" w:rsidRPr="00B5172D" w:rsidRDefault="00B5172D" w:rsidP="00B5172D">
      <w:pPr>
        <w:spacing w:line="240" w:lineRule="auto"/>
        <w:rPr>
          <w:rFonts w:ascii="Arial" w:eastAsia="Times New Roman" w:hAnsi="Arial"/>
          <w:color w:val="000000"/>
          <w:sz w:val="18"/>
          <w:szCs w:val="18"/>
          <w:lang w:val="es-CO"/>
        </w:rPr>
      </w:pPr>
      <w:r w:rsidRPr="00B5172D">
        <w:rPr>
          <w:rFonts w:ascii="Segoe UI" w:eastAsia="Times New Roman" w:hAnsi="Segoe UI" w:cs="Segoe UI"/>
          <w:b/>
          <w:bCs/>
          <w:color w:val="000000"/>
          <w:sz w:val="18"/>
          <w:szCs w:val="18"/>
          <w:lang w:val="es-CO"/>
        </w:rPr>
        <w:t>PEDRO PABLO CONTRERAS CAMARGO</w:t>
      </w:r>
    </w:p>
    <w:p w:rsidR="00B5172D" w:rsidRPr="00B5172D" w:rsidRDefault="00B5172D" w:rsidP="00B5172D">
      <w:pPr>
        <w:spacing w:line="240" w:lineRule="auto"/>
        <w:rPr>
          <w:rFonts w:ascii="Arial" w:eastAsia="Times New Roman" w:hAnsi="Arial"/>
          <w:color w:val="000000"/>
          <w:sz w:val="18"/>
          <w:szCs w:val="18"/>
          <w:lang w:val="es-CO"/>
        </w:rPr>
      </w:pPr>
      <w:r w:rsidRPr="00B5172D">
        <w:rPr>
          <w:rFonts w:ascii="Segoe UI" w:eastAsia="Times New Roman" w:hAnsi="Segoe UI" w:cs="Segoe UI"/>
          <w:color w:val="000000"/>
          <w:sz w:val="18"/>
          <w:szCs w:val="18"/>
          <w:lang w:val="es-CO"/>
        </w:rPr>
        <w:t>Subdirector de Gestión Normativa y Doctrina</w:t>
      </w:r>
    </w:p>
    <w:p w:rsidR="00147980" w:rsidRPr="00B5172D" w:rsidRDefault="00147980">
      <w:pPr>
        <w:rPr>
          <w:lang w:val="es-CO"/>
        </w:rPr>
      </w:pPr>
    </w:p>
    <w:sectPr w:rsidR="00147980" w:rsidRPr="00B5172D"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72D"/>
    <w:rsid w:val="00147980"/>
    <w:rsid w:val="00B5172D"/>
    <w:rsid w:val="00B6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027380-EB4C-4455-9508-245D3028C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33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anrep.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821</Words>
  <Characters>4682</Characters>
  <Application>Microsoft Office Word</Application>
  <DocSecurity>0</DocSecurity>
  <Lines>39</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2018-08-24T20:57:00Z</dcterms:created>
  <dcterms:modified xsi:type="dcterms:W3CDTF">2018-08-24T20:58:00Z</dcterms:modified>
</cp:coreProperties>
</file>